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CAA43" w14:textId="77777777" w:rsidR="00D25058" w:rsidRPr="00FC0980" w:rsidRDefault="00D25058" w:rsidP="00D25058">
      <w:pPr>
        <w:shd w:val="clear" w:color="auto" w:fill="FFFFFF"/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333E55"/>
          <w:kern w:val="36"/>
          <w:lang w:eastAsia="hu-HU"/>
          <w14:ligatures w14:val="none"/>
        </w:rPr>
      </w:pPr>
      <w:r w:rsidRPr="00FC0980">
        <w:rPr>
          <w:rFonts w:ascii="Century Gothic" w:eastAsia="Times New Roman" w:hAnsi="Century Gothic" w:cs="Times New Roman"/>
          <w:b/>
          <w:bCs/>
          <w:color w:val="333E55"/>
          <w:kern w:val="36"/>
          <w:lang w:eastAsia="hu-HU"/>
          <w14:ligatures w14:val="none"/>
        </w:rPr>
        <w:t>Tokod Nagyközség Önkormányzata Képviselő-testületének 9/2026. (V. 19.) önkormányzati rendelete</w:t>
      </w:r>
    </w:p>
    <w:p w14:paraId="5B1C953F" w14:textId="77777777" w:rsidR="00D25058" w:rsidRPr="00FC0980" w:rsidRDefault="00D25058" w:rsidP="00D25058">
      <w:pPr>
        <w:shd w:val="clear" w:color="auto" w:fill="FFFFFF"/>
        <w:spacing w:before="300" w:after="0" w:line="240" w:lineRule="auto"/>
        <w:jc w:val="center"/>
        <w:outlineLvl w:val="1"/>
        <w:rPr>
          <w:rFonts w:ascii="Century Gothic" w:eastAsia="Times New Roman" w:hAnsi="Century Gothic" w:cs="Times New Roman"/>
          <w:b/>
          <w:bCs/>
          <w:color w:val="333E55"/>
          <w:kern w:val="0"/>
          <w:lang w:eastAsia="hu-HU"/>
          <w14:ligatures w14:val="none"/>
        </w:rPr>
      </w:pPr>
      <w:r w:rsidRPr="00FC0980">
        <w:rPr>
          <w:rFonts w:ascii="Century Gothic" w:eastAsia="Times New Roman" w:hAnsi="Century Gothic" w:cs="Times New Roman"/>
          <w:b/>
          <w:bCs/>
          <w:color w:val="333E55"/>
          <w:kern w:val="0"/>
          <w:lang w:eastAsia="hu-HU"/>
          <w14:ligatures w14:val="none"/>
        </w:rPr>
        <w:t>a helyi önazonosság védelméről</w:t>
      </w:r>
    </w:p>
    <w:p w14:paraId="72966D12" w14:textId="77777777" w:rsidR="00D25058" w:rsidRPr="00FC0980" w:rsidRDefault="00D25058" w:rsidP="00D25058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FC0980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 Hatályos: 2026. 07. 01</w:t>
      </w:r>
    </w:p>
    <w:p w14:paraId="0FE34DEB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[1] Tokod Nagyközség Önkormányzata elkötelezett az eredeti társadalmi rendjének, hagyományainak és értékeinek védelme, valamint azok megőrzése iránt.</w:t>
      </w:r>
    </w:p>
    <w:p w14:paraId="1E30E5F2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[2] Tokod Nagyközség Önkormányzata a törvényben biztosított jogvédelmi eszközök alkalmazásával megvédi helyi társadalmának életformáját, hagyományait, szokásait, megőrzi kulturális értékeit.</w:t>
      </w:r>
    </w:p>
    <w:p w14:paraId="54F249E2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[3] Tokod Nagyközség Önkormányzata szabályozni, és ezzel együtt védeni kívánja a település fejlődését, megőrizve a település hagyományait, társadalmi rendjét és értékeit a szerves fejlődés lehetőségének biztosítása céljából.</w:t>
      </w:r>
    </w:p>
    <w:p w14:paraId="6E093C30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[4] Az önkormányzat kiemelt célja, hogy a zártkerti területeket érintő, a környezetvédelmi garanciákat sértő és a közösségi életformát veszélyeztető betelepülésekkel szemben jogszerű eszközökkel biztosítsa a zártkerti területek eredeti karakterének, természeti értékeinek és hagyományos funkciójának fennmaradását.</w:t>
      </w:r>
    </w:p>
    <w:p w14:paraId="7356FC83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[5] Tokod Nagyközség Önkormányzatának Képviselő-testülete a helyi önazonosság védelméről szóló </w:t>
      </w:r>
      <w:hyperlink r:id="rId4" w:anchor="SZ22@BE2@POA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2025. évi XLVIII. törvény 22. § (2) bekezdés a)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, </w:t>
      </w:r>
      <w:hyperlink r:id="rId5" w:anchor="SZ22@BE2@POC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c)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, </w:t>
      </w:r>
      <w:hyperlink r:id="rId6" w:anchor="SZ22@BE2@POD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d) pont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ja, Magyarország helyi önkormányzatairól szóló </w:t>
      </w:r>
      <w:hyperlink r:id="rId7" w:anchor="SZ142C@BE2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2011. évi CLXXXIX. törvény 142/C. § (2) bekezdés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és a közigazgatási szabályszegések szankcióiról szóló </w:t>
      </w:r>
      <w:hyperlink r:id="rId8" w:anchor="SZ10@BE3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2017. évi CXXV. törvény 10. § (3) bekezdés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kapott felhatalmazás alapján, a helyi önazonosság védelméről szóló </w:t>
      </w:r>
      <w:hyperlink r:id="rId9" w:anchor="SZ5@BE1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2025. évi XLVIII. törvény 5. § (1) bekezdés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és a közigazgatási szabályszegések szankcióiról szóló </w:t>
      </w:r>
      <w:hyperlink r:id="rId10" w:anchor="SZ2@BE1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2017. évi CXXV. törvény 2. § (1) bekezdés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ében meghatározott feladatkörében eljárva a következőket rendeli el:</w:t>
      </w:r>
    </w:p>
    <w:p w14:paraId="6B223030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1. A helyi önazonosság védelmének eszközei</w:t>
      </w:r>
    </w:p>
    <w:p w14:paraId="199F925B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1.</w:t>
      </w:r>
      <w:r w:rsidRPr="00D25058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D25058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Tokod Nagyközség Önkormányzatának Képviselő-testülete a helyi önazonosság védelme érdekében az alábbi dologi és személyi jogvédelmi eszközöket vezeti be:</w:t>
      </w:r>
    </w:p>
    <w:p w14:paraId="19BE7CB6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a) elővásárlási jog biztosítása,</w:t>
      </w:r>
    </w:p>
    <w:p w14:paraId="3BC308D1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b) betelepülési hozzájárulás,</w:t>
      </w:r>
    </w:p>
    <w:p w14:paraId="44360454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c) lakcímlétesítés tilalma.</w:t>
      </w:r>
    </w:p>
    <w:p w14:paraId="6750F284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2. Elővásárlási jog biztosítása</w:t>
      </w:r>
    </w:p>
    <w:p w14:paraId="2774904A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lastRenderedPageBreak/>
        <w:t>2.</w:t>
      </w:r>
      <w:r w:rsidRPr="00D25058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D25058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Tokod Nagyközség Önkormányzatának Képviselő-testülete a helyi önazonosság védelme érdekében a helyi önazonosság védelméről szóló </w:t>
      </w:r>
      <w:hyperlink r:id="rId11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2025. évi XLVIII. törvényben (a továbbiakban: Hövtv.)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foglalt és szabályozott elővásárlási jogot biztosít a </w:t>
      </w:r>
      <w:hyperlink r:id="rId12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Hövtv.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-ben meghatározott elővásárlási jog jogosultjainak az ott meghatározott sorrendben.</w:t>
      </w:r>
    </w:p>
    <w:p w14:paraId="3DD034A9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3. Betelepülési hozzájárulás</w:t>
      </w:r>
    </w:p>
    <w:p w14:paraId="7780FFB3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3.</w:t>
      </w:r>
      <w:r w:rsidRPr="00D25058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D25058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</w:t>
      </w:r>
      <w:r w:rsidRPr="008D3D2C">
        <w:rPr>
          <w:rFonts w:ascii="Century Gothic" w:eastAsia="Times New Roman" w:hAnsi="Century Gothic" w:cs="Open Sans"/>
          <w:b/>
          <w:bCs/>
          <w:strike/>
          <w:color w:val="EE0000"/>
          <w:kern w:val="0"/>
          <w:lang w:eastAsia="hu-HU"/>
          <w14:ligatures w14:val="none"/>
        </w:rPr>
        <w:t>(1)</w:t>
      </w:r>
      <w:r w:rsidRPr="008D3D2C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 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Az a betelepülő, aki Tokod nagyközség közigazgatási területén lakcímet kíván létesíteni, egyszeri 50.000 Ft-os betelepülési hozzájárulást (a továbbiakban: betelepülési hozzájárulás) köteles megfizetni az Önkormányzat részére, az Önkormányzat Raiffeisen Banknál vezetett 12025000-00201486-00100004 számú számlájára történő utalással.</w:t>
      </w:r>
    </w:p>
    <w:p w14:paraId="2ADE5ABC" w14:textId="77777777" w:rsidR="00D25058" w:rsidRPr="008D3D2C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b/>
          <w:bCs/>
          <w:strike/>
          <w:color w:val="EE0000"/>
          <w:kern w:val="0"/>
          <w:lang w:eastAsia="hu-HU"/>
          <w14:ligatures w14:val="none"/>
        </w:rPr>
      </w:pPr>
      <w:r w:rsidRPr="008D3D2C">
        <w:rPr>
          <w:rFonts w:ascii="Century Gothic" w:eastAsia="Times New Roman" w:hAnsi="Century Gothic" w:cs="Open Sans"/>
          <w:b/>
          <w:bCs/>
          <w:strike/>
          <w:color w:val="EE0000"/>
          <w:kern w:val="0"/>
          <w:lang w:eastAsia="hu-HU"/>
          <w14:ligatures w14:val="none"/>
        </w:rPr>
        <w:t>(2)</w:t>
      </w:r>
      <w:r w:rsidRPr="008D3D2C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> </w:t>
      </w:r>
      <w:r w:rsidRPr="00FC0980">
        <w:rPr>
          <w:rFonts w:ascii="Century Gothic" w:eastAsia="Times New Roman" w:hAnsi="Century Gothic" w:cs="Open Sans"/>
          <w:b/>
          <w:bCs/>
          <w:strike/>
          <w:color w:val="EE0000"/>
          <w:kern w:val="0"/>
          <w:lang w:eastAsia="hu-HU"/>
          <w14:ligatures w14:val="none"/>
        </w:rPr>
        <w:t>Lakcím akkor létesíthető, amennyiben a betelepülő a betelepülési hozzájárulást megfizette.</w:t>
      </w:r>
      <w:r w:rsidRPr="00FC0980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 </w:t>
      </w:r>
      <w:r w:rsidRPr="008D3D2C">
        <w:rPr>
          <w:rFonts w:ascii="Century Gothic" w:eastAsia="Times New Roman" w:hAnsi="Century Gothic" w:cs="Open Sans"/>
          <w:b/>
          <w:bCs/>
          <w:strike/>
          <w:color w:val="EE0000"/>
          <w:kern w:val="0"/>
          <w:lang w:eastAsia="hu-HU"/>
          <w14:ligatures w14:val="none"/>
        </w:rPr>
        <w:t>A betelepülési hozzájárulás megfizetéséről a betelepülő kérelmére (</w:t>
      </w:r>
      <w:hyperlink r:id="rId13" w:anchor="ME1" w:history="1">
        <w:r w:rsidRPr="008D3D2C">
          <w:rPr>
            <w:rFonts w:ascii="Century Gothic" w:eastAsia="Times New Roman" w:hAnsi="Century Gothic" w:cs="Open Sans"/>
            <w:b/>
            <w:bCs/>
            <w:strike/>
            <w:color w:val="EE0000"/>
            <w:kern w:val="0"/>
            <w:lang w:eastAsia="hu-HU"/>
            <w14:ligatures w14:val="none"/>
          </w:rPr>
          <w:t>1. melléklet</w:t>
        </w:r>
      </w:hyperlink>
      <w:r w:rsidRPr="008D3D2C">
        <w:rPr>
          <w:rFonts w:ascii="Century Gothic" w:eastAsia="Times New Roman" w:hAnsi="Century Gothic" w:cs="Open Sans"/>
          <w:b/>
          <w:bCs/>
          <w:strike/>
          <w:color w:val="EE0000"/>
          <w:kern w:val="0"/>
          <w:lang w:eastAsia="hu-HU"/>
          <w14:ligatures w14:val="none"/>
        </w:rPr>
        <w:t>) a jegyző igazolást állít ki.</w:t>
      </w:r>
    </w:p>
    <w:p w14:paraId="2F4B9692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4. Mentesség</w:t>
      </w:r>
    </w:p>
    <w:p w14:paraId="01DC2254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4.</w:t>
      </w:r>
      <w:r w:rsidRPr="00D25058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D25058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A Képviselő-testület a </w:t>
      </w:r>
      <w:hyperlink r:id="rId14" w:anchor="SZ6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Hövtv. 6. §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-ban meghatározott alanyi mentességeken felül egyéb mentességi okot nem állapít meg.</w:t>
      </w:r>
    </w:p>
    <w:p w14:paraId="751DA856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5. Eljárás alanyi mentesség esetén</w:t>
      </w:r>
    </w:p>
    <w:p w14:paraId="0DCFD173" w14:textId="357EC596" w:rsid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000000" w:themeColor="text1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5.</w:t>
      </w:r>
      <w:r w:rsidRPr="00D25058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D25058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</w:t>
      </w:r>
      <w:r w:rsidR="0087569F" w:rsidRPr="0087569F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(1)</w:t>
      </w:r>
      <w:r w:rsidR="0087569F" w:rsidRPr="0087569F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 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A </w:t>
      </w:r>
      <w:hyperlink r:id="rId15" w:anchor="SZ6" w:tgtFrame="_blank" w:history="1">
        <w:r w:rsidRPr="00D25058">
          <w:rPr>
            <w:rFonts w:ascii="Century Gothic" w:eastAsia="Times New Roman" w:hAnsi="Century Gothic" w:cs="Open Sans"/>
            <w:color w:val="333E55"/>
            <w:kern w:val="0"/>
            <w:lang w:eastAsia="hu-HU"/>
            <w14:ligatures w14:val="none"/>
          </w:rPr>
          <w:t>Hövtv. 6. §</w:t>
        </w:r>
      </w:hyperlink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 xml:space="preserve">-ában meghatározott mentességek fennállása esetén a jegyző egyszerűsített eljárás során </w:t>
      </w:r>
      <w:r w:rsidR="008A1C41" w:rsidRPr="008A1C41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hatósági bizonyítványt állít ki</w:t>
      </w:r>
      <w:r w:rsidR="0087569F" w:rsidRPr="0087569F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, vagy</w:t>
      </w:r>
      <w:r w:rsidR="008A1C41" w:rsidRPr="0087569F">
        <w:rPr>
          <w:rFonts w:ascii="Century Gothic" w:eastAsia="Times New Roman" w:hAnsi="Century Gothic" w:cs="Open Sans"/>
          <w:color w:val="EE0000"/>
          <w:kern w:val="0"/>
          <w:lang w:eastAsia="hu-HU"/>
          <w14:ligatures w14:val="none"/>
        </w:rPr>
        <w:t xml:space="preserve"> </w:t>
      </w:r>
      <w:r w:rsidRPr="0087569F">
        <w:rPr>
          <w:rFonts w:ascii="Century Gothic" w:eastAsia="Times New Roman" w:hAnsi="Century Gothic" w:cs="Open Sans"/>
          <w:color w:val="000000" w:themeColor="text1"/>
          <w:kern w:val="0"/>
          <w:lang w:eastAsia="hu-HU"/>
          <w14:ligatures w14:val="none"/>
        </w:rPr>
        <w:t>a </w:t>
      </w:r>
      <w:hyperlink r:id="rId16" w:anchor="SZ13@BE2" w:tgtFrame="_blank" w:history="1">
        <w:r w:rsidRPr="0087569F">
          <w:rPr>
            <w:rFonts w:ascii="Century Gothic" w:eastAsia="Times New Roman" w:hAnsi="Century Gothic" w:cs="Open Sans"/>
            <w:color w:val="000000" w:themeColor="text1"/>
            <w:kern w:val="0"/>
            <w:lang w:eastAsia="hu-HU"/>
            <w14:ligatures w14:val="none"/>
          </w:rPr>
          <w:t>Hövtv. 13. § (2) bekezdés</w:t>
        </w:r>
      </w:hyperlink>
      <w:r w:rsidRPr="0087569F">
        <w:rPr>
          <w:rFonts w:ascii="Century Gothic" w:eastAsia="Times New Roman" w:hAnsi="Century Gothic" w:cs="Open Sans"/>
          <w:color w:val="000000" w:themeColor="text1"/>
          <w:kern w:val="0"/>
          <w:lang w:eastAsia="hu-HU"/>
          <w14:ligatures w14:val="none"/>
        </w:rPr>
        <w:t>e szerinti betelepülésre jogosító záradékkal látja el a betelepülő kérelmét.</w:t>
      </w:r>
    </w:p>
    <w:p w14:paraId="29354A8B" w14:textId="433D0C16" w:rsidR="0087569F" w:rsidRPr="004D4FBE" w:rsidRDefault="0087569F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</w:pPr>
      <w:r w:rsidRPr="004D4FBE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(2) </w:t>
      </w:r>
      <w:r w:rsidR="00BD1441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H</w:t>
      </w:r>
      <w:r w:rsidRPr="004D4FBE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 xml:space="preserve">iányosan beérkezett kérelem esetén a jegyző hiánypótlásra szólítja fel a kérelmezőt, </w:t>
      </w:r>
      <w:r w:rsidR="004D4FBE" w:rsidRPr="004D4FBE">
        <w:rPr>
          <w:rFonts w:ascii="Century Gothic" w:eastAsia="Times New Roman" w:hAnsi="Century Gothic" w:cs="Open Sans"/>
          <w:b/>
          <w:bCs/>
          <w:color w:val="EE0000"/>
          <w:kern w:val="0"/>
          <w:lang w:eastAsia="hu-HU"/>
          <w14:ligatures w14:val="none"/>
        </w:rPr>
        <w:t>15 napos határidő mellett.</w:t>
      </w:r>
    </w:p>
    <w:p w14:paraId="78A2EA09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6. Lakcímlétesítés tilalma</w:t>
      </w:r>
    </w:p>
    <w:p w14:paraId="1CF9637E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6.</w:t>
      </w:r>
      <w:r w:rsidRPr="00D25058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D25058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Betelepülő számára lakcím nem létesíthető Tokod nagyközség Mk (Mk1, Mk2, Mk3, Mk4, Mko) – kertes mezőgazdasági terület övezeti besorolású, valamint K-Pi/1 és K-Pi/2 – különleges beépítésre szánt pinceterület övezeti besorolású területein található ingatlanokon.</w:t>
      </w:r>
    </w:p>
    <w:p w14:paraId="266A94F1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7. A jogellenes betelepülés jogkövetkezményei</w:t>
      </w:r>
    </w:p>
    <w:p w14:paraId="61E0B5EB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7.</w:t>
      </w:r>
      <w:r w:rsidRPr="00D25058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D25058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Jogellenes betelepülés esetén a jegyző által kiszabható bírság maximális összege természetes személyek esetében 200.000 Ft.</w:t>
      </w:r>
    </w:p>
    <w:p w14:paraId="04AFE672" w14:textId="77777777" w:rsidR="00D25058" w:rsidRPr="00D25058" w:rsidRDefault="00D25058" w:rsidP="00D25058">
      <w:pPr>
        <w:shd w:val="clear" w:color="auto" w:fill="FFFFFF"/>
        <w:spacing w:before="100" w:beforeAutospacing="1" w:after="100" w:afterAutospacing="1" w:line="240" w:lineRule="auto"/>
        <w:ind w:firstLine="180"/>
        <w:jc w:val="both"/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</w:pPr>
      <w:r w:rsidRPr="00D25058">
        <w:rPr>
          <w:rFonts w:ascii="Century Gothic" w:eastAsia="Times New Roman" w:hAnsi="Century Gothic" w:cs="Open Sans"/>
          <w:b/>
          <w:bCs/>
          <w:color w:val="333E55"/>
          <w:kern w:val="0"/>
          <w:lang w:eastAsia="hu-HU"/>
          <w14:ligatures w14:val="none"/>
        </w:rPr>
        <w:t>8.</w:t>
      </w:r>
      <w:r w:rsidRPr="00D25058">
        <w:rPr>
          <w:rFonts w:ascii="Arial" w:eastAsia="Times New Roman" w:hAnsi="Arial" w:cs="Arial"/>
          <w:b/>
          <w:bCs/>
          <w:color w:val="333E55"/>
          <w:kern w:val="0"/>
          <w:lang w:eastAsia="hu-HU"/>
          <w14:ligatures w14:val="none"/>
        </w:rPr>
        <w:t> </w:t>
      </w:r>
      <w:r w:rsidRPr="00D25058">
        <w:rPr>
          <w:rFonts w:ascii="Century Gothic" w:eastAsia="Times New Roman" w:hAnsi="Century Gothic" w:cs="Century Gothic"/>
          <w:b/>
          <w:bCs/>
          <w:color w:val="333E55"/>
          <w:kern w:val="0"/>
          <w:lang w:eastAsia="hu-HU"/>
          <w14:ligatures w14:val="none"/>
        </w:rPr>
        <w:t>§</w:t>
      </w:r>
      <w:r w:rsidRPr="00D25058">
        <w:rPr>
          <w:rFonts w:ascii="Century Gothic" w:eastAsia="Times New Roman" w:hAnsi="Century Gothic" w:cs="Open Sans"/>
          <w:color w:val="333E55"/>
          <w:kern w:val="0"/>
          <w:lang w:eastAsia="hu-HU"/>
          <w14:ligatures w14:val="none"/>
        </w:rPr>
        <w:t> Ez a rendelet 2026. július 1-jén lép hatályba.</w:t>
      </w:r>
    </w:p>
    <w:p w14:paraId="6B28505E" w14:textId="77777777" w:rsidR="00D25058" w:rsidRPr="00EF18FB" w:rsidRDefault="00D25058" w:rsidP="00D25058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b/>
          <w:bCs/>
          <w:i/>
          <w:iCs/>
          <w:strike/>
          <w:color w:val="EE0000"/>
          <w:kern w:val="0"/>
          <w:lang w:eastAsia="hu-HU"/>
          <w14:ligatures w14:val="none"/>
        </w:rPr>
      </w:pPr>
      <w:r w:rsidRPr="00EF18FB">
        <w:rPr>
          <w:rFonts w:ascii="Century Gothic" w:eastAsia="Times New Roman" w:hAnsi="Century Gothic" w:cs="Open Sans"/>
          <w:b/>
          <w:bCs/>
          <w:i/>
          <w:iCs/>
          <w:strike/>
          <w:color w:val="EE0000"/>
          <w:kern w:val="0"/>
          <w:u w:val="single"/>
          <w:lang w:eastAsia="hu-HU"/>
          <w14:ligatures w14:val="none"/>
        </w:rPr>
        <w:fldChar w:fldCharType="begin"/>
      </w:r>
      <w:r w:rsidRPr="00EF18FB">
        <w:rPr>
          <w:rFonts w:ascii="Century Gothic" w:eastAsia="Times New Roman" w:hAnsi="Century Gothic" w:cs="Open Sans"/>
          <w:b/>
          <w:bCs/>
          <w:i/>
          <w:iCs/>
          <w:strike/>
          <w:color w:val="EE0000"/>
          <w:kern w:val="0"/>
          <w:u w:val="single"/>
          <w:lang w:eastAsia="hu-HU"/>
          <w14:ligatures w14:val="none"/>
        </w:rPr>
        <w:instrText>HYPERLINK "https://or.njt.hu/download/3621/resources/EJR_117104159-3.3_1._mell_klet.pdf" \t "_blank"</w:instrText>
      </w:r>
      <w:r w:rsidRPr="00EF18FB">
        <w:rPr>
          <w:rFonts w:ascii="Century Gothic" w:eastAsia="Times New Roman" w:hAnsi="Century Gothic" w:cs="Open Sans"/>
          <w:b/>
          <w:bCs/>
          <w:i/>
          <w:iCs/>
          <w:strike/>
          <w:color w:val="EE0000"/>
          <w:kern w:val="0"/>
          <w:u w:val="single"/>
          <w:lang w:eastAsia="hu-HU"/>
          <w14:ligatures w14:val="none"/>
        </w:rPr>
      </w:r>
      <w:r w:rsidRPr="00EF18FB">
        <w:rPr>
          <w:rFonts w:ascii="Century Gothic" w:eastAsia="Times New Roman" w:hAnsi="Century Gothic" w:cs="Open Sans"/>
          <w:b/>
          <w:bCs/>
          <w:i/>
          <w:iCs/>
          <w:strike/>
          <w:color w:val="EE0000"/>
          <w:kern w:val="0"/>
          <w:u w:val="single"/>
          <w:lang w:eastAsia="hu-HU"/>
          <w14:ligatures w14:val="none"/>
        </w:rPr>
        <w:fldChar w:fldCharType="separate"/>
      </w:r>
    </w:p>
    <w:p w14:paraId="0ED51D7B" w14:textId="300ACFC0" w:rsidR="00D25058" w:rsidRPr="00EF18FB" w:rsidRDefault="00D25058" w:rsidP="00D25058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Open Sans"/>
          <w:b/>
          <w:bCs/>
          <w:i/>
          <w:iCs/>
          <w:strike/>
          <w:color w:val="EE0000"/>
          <w:kern w:val="0"/>
          <w:u w:val="single"/>
          <w:lang w:eastAsia="hu-HU"/>
          <w14:ligatures w14:val="none"/>
        </w:rPr>
      </w:pPr>
      <w:r w:rsidRPr="00EF18FB">
        <w:rPr>
          <w:rFonts w:ascii="Century Gothic" w:eastAsia="Times New Roman" w:hAnsi="Century Gothic" w:cs="Open Sans"/>
          <w:b/>
          <w:bCs/>
          <w:i/>
          <w:iCs/>
          <w:strike/>
          <w:color w:val="EE0000"/>
          <w:kern w:val="0"/>
          <w:lang w:eastAsia="hu-HU"/>
          <w14:ligatures w14:val="none"/>
        </w:rPr>
        <w:lastRenderedPageBreak/>
        <w:t>1. melléklet a 9/2026. (V. 19.) önkormányzati rendelethez</w:t>
      </w:r>
      <w:r w:rsidRPr="00EF18FB">
        <w:rPr>
          <w:rFonts w:ascii="Century Gothic" w:eastAsia="Times New Roman" w:hAnsi="Century Gothic" w:cs="Open Sans"/>
          <w:b/>
          <w:bCs/>
          <w:i/>
          <w:iCs/>
          <w:strike/>
          <w:color w:val="EE0000"/>
          <w:kern w:val="0"/>
          <w:u w:val="single"/>
          <w:lang w:eastAsia="hu-HU"/>
          <w14:ligatures w14:val="none"/>
        </w:rPr>
        <w:fldChar w:fldCharType="end"/>
      </w:r>
    </w:p>
    <w:p w14:paraId="3265B052" w14:textId="77777777" w:rsidR="00521169" w:rsidRPr="00D25058" w:rsidRDefault="00521169">
      <w:pPr>
        <w:rPr>
          <w:rFonts w:ascii="Century Gothic" w:hAnsi="Century Gothic"/>
        </w:rPr>
      </w:pPr>
    </w:p>
    <w:sectPr w:rsidR="00521169" w:rsidRPr="00D2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58"/>
    <w:rsid w:val="001D7CF9"/>
    <w:rsid w:val="004D4FBE"/>
    <w:rsid w:val="00521169"/>
    <w:rsid w:val="006B7778"/>
    <w:rsid w:val="0087569F"/>
    <w:rsid w:val="008A1C41"/>
    <w:rsid w:val="008D3D2C"/>
    <w:rsid w:val="00A301E7"/>
    <w:rsid w:val="00B138FC"/>
    <w:rsid w:val="00BD1441"/>
    <w:rsid w:val="00D25058"/>
    <w:rsid w:val="00EF18FB"/>
    <w:rsid w:val="00FC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B169"/>
  <w15:chartTrackingRefBased/>
  <w15:docId w15:val="{0AE9DE05-54B3-4959-A3A2-F24444F4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25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5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5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5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5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5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5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5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5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5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5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505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505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505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505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505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505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5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5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5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5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505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505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505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5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505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5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17-125-00-00" TargetMode="External"/><Relationship Id="rId13" Type="http://schemas.openxmlformats.org/officeDocument/2006/relationships/hyperlink" Target="https://or.njt.hu/eli/729853/r/2026/9/2026-07-01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jt.hu/jogszabaly/2011-189-00-00" TargetMode="External"/><Relationship Id="rId12" Type="http://schemas.openxmlformats.org/officeDocument/2006/relationships/hyperlink" Target="https://njt.hu/jogszabaly/2025-48-00-0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jt.hu/jogszabaly/2025-48-00-00" TargetMode="External"/><Relationship Id="rId1" Type="http://schemas.openxmlformats.org/officeDocument/2006/relationships/styles" Target="styles.xml"/><Relationship Id="rId6" Type="http://schemas.openxmlformats.org/officeDocument/2006/relationships/hyperlink" Target="https://njt.hu/jogszabaly/2025-48-00-00" TargetMode="External"/><Relationship Id="rId11" Type="http://schemas.openxmlformats.org/officeDocument/2006/relationships/hyperlink" Target="https://njt.hu/jogszabaly/2025-48-00-00" TargetMode="External"/><Relationship Id="rId5" Type="http://schemas.openxmlformats.org/officeDocument/2006/relationships/hyperlink" Target="https://njt.hu/jogszabaly/2025-48-00-00" TargetMode="External"/><Relationship Id="rId15" Type="http://schemas.openxmlformats.org/officeDocument/2006/relationships/hyperlink" Target="https://njt.hu/jogszabaly/2025-48-00-00" TargetMode="External"/><Relationship Id="rId10" Type="http://schemas.openxmlformats.org/officeDocument/2006/relationships/hyperlink" Target="https://njt.hu/jogszabaly/2017-125-00-00" TargetMode="External"/><Relationship Id="rId4" Type="http://schemas.openxmlformats.org/officeDocument/2006/relationships/hyperlink" Target="https://njt.hu/jogszabaly/2025-48-00-00" TargetMode="External"/><Relationship Id="rId9" Type="http://schemas.openxmlformats.org/officeDocument/2006/relationships/hyperlink" Target="https://njt.hu/jogszabaly/2025-48-00-00" TargetMode="External"/><Relationship Id="rId14" Type="http://schemas.openxmlformats.org/officeDocument/2006/relationships/hyperlink" Target="https://njt.hu/jogszabaly/2025-48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651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Robotka</dc:creator>
  <cp:keywords/>
  <dc:description/>
  <cp:lastModifiedBy>Julianna Robotka</cp:lastModifiedBy>
  <cp:revision>5</cp:revision>
  <dcterms:created xsi:type="dcterms:W3CDTF">2026-06-08T09:29:00Z</dcterms:created>
  <dcterms:modified xsi:type="dcterms:W3CDTF">2026-06-23T08:20:00Z</dcterms:modified>
</cp:coreProperties>
</file>