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48" w:rsidRPr="00AD1848" w:rsidRDefault="00AD1848" w:rsidP="00AD1848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</w:pPr>
      <w:proofErr w:type="spellStart"/>
      <w:r w:rsidRPr="00AD1848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Preventing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inland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inundation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by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precipitation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management</w:t>
      </w:r>
    </w:p>
    <w:p w:rsidR="00AD1848" w:rsidRPr="00AD1848" w:rsidRDefault="00AD1848" w:rsidP="00AD1848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8B8B8B"/>
          <w:sz w:val="17"/>
          <w:szCs w:val="17"/>
          <w:lang w:eastAsia="hu-HU"/>
        </w:rPr>
      </w:pPr>
      <w:r w:rsidRPr="00AD1848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 xml:space="preserve">2016. november 20. 15:08 - </w:t>
      </w:r>
      <w:proofErr w:type="spellStart"/>
      <w:r w:rsidRPr="00AD1848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>admin</w:t>
      </w:r>
      <w:proofErr w:type="spellEnd"/>
    </w:p>
    <w:p w:rsidR="00AD1848" w:rsidRPr="00AD1848" w:rsidRDefault="00AD1848" w:rsidP="00AD1848">
      <w:pPr>
        <w:shd w:val="clear" w:color="auto" w:fill="E7E7E7"/>
        <w:spacing w:after="0" w:line="240" w:lineRule="auto"/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</w:pPr>
      <w:r w:rsidRPr="00AD1848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6" name="Kép 6" descr="C:\Downloaded Web Sites2\www.tokod.hu\gfx\tokod\images\arrow_prev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ed Web Sites2\www.tokod.hu\gfx\tokod\images\arrow_prev_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848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AD1848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5" name="Kép 5" descr="C:\Downloaded Web Sites2\www.tokod.hu\gfx\tokod\images\arrow_next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ed Web Sites2\www.tokod.hu\gfx\tokod\images\arrow_next_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848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4" name="Kép 4" descr="C:\Downloaded Web Sites2\www.tokod.hu\gfx\tokod\images\char_bi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wnloaded Web Sites2\www.tokod.hu\gfx\tokod\images\char_bigg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848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AD1848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3" name="Kép 3" descr="C:\Downloaded Web Sites2\www.tokod.hu\gfx\tokod\images\char_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wnloaded Web Sites2\www.tokod.hu\gfx\tokod\images\char_sma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848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AD1848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2" name="Kép 2" descr="C:\Downloaded Web Sites2\www.tokod.hu\gfx\tokod\images\prin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wnloaded Web Sites2\www.tokod.hu\gfx\tokod\images\prin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48" w:rsidRPr="00AD1848" w:rsidRDefault="00AD1848" w:rsidP="00AD1848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</w:t>
      </w:r>
    </w:p>
    <w:p w:rsidR="00AD1848" w:rsidRPr="00AD1848" w:rsidRDefault="00AD1848" w:rsidP="00AD1848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AD1848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lastRenderedPageBreak/>
        <w:drawing>
          <wp:inline distT="0" distB="0" distL="0" distR="0">
            <wp:extent cx="6162675" cy="8372475"/>
            <wp:effectExtent l="0" t="0" r="9525" b="9525"/>
            <wp:docPr id="1" name="Kép 1" descr="C:\Downloaded Web Sites2\www.tokod.hu\uploads\news\2397\ango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wnloaded Web Sites2\www.tokod.hu\uploads\news\2397\angol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48" w:rsidRPr="00AD1848" w:rsidRDefault="00AD1848" w:rsidP="00AD184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21"/>
          <w:szCs w:val="21"/>
          <w:lang w:eastAsia="hu-HU"/>
        </w:rPr>
        <w:t>Preventing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21"/>
          <w:szCs w:val="21"/>
          <w:lang w:eastAsia="hu-HU"/>
        </w:rPr>
        <w:t>inland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21"/>
          <w:szCs w:val="21"/>
          <w:lang w:eastAsia="hu-HU"/>
        </w:rPr>
        <w:t>inundation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21"/>
          <w:szCs w:val="21"/>
          <w:lang w:eastAsia="hu-HU"/>
        </w:rPr>
        <w:t>by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21"/>
          <w:szCs w:val="21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21"/>
          <w:szCs w:val="21"/>
          <w:lang w:eastAsia="hu-HU"/>
        </w:rPr>
        <w:t>precipitation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21"/>
          <w:szCs w:val="21"/>
          <w:lang w:eastAsia="hu-HU"/>
        </w:rPr>
        <w:t xml:space="preserve"> management</w:t>
      </w:r>
    </w:p>
    <w:p w:rsidR="00AD1848" w:rsidRPr="00AD1848" w:rsidRDefault="00AD1848" w:rsidP="00AD184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lastRenderedPageBreak/>
        <w:t xml:space="preserve">The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settlements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Tát and Tokod (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Central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Transdanubian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Region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, Hungary)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are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devoted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to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resolve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recurring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problems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caused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by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inland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inundation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in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framework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a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joint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project. In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recent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times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our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settlements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have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increasingly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suffered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from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high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levels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ground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water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. The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problem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is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further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aggravated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by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more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frequent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sudden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rainfalls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increased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amounts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precipitation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caused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by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climate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change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in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region</w:t>
      </w:r>
      <w:proofErr w:type="spellEnd"/>
      <w:r w:rsidRPr="00AD1848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.</w:t>
      </w:r>
    </w:p>
    <w:p w:rsidR="00AD1848" w:rsidRPr="00AD1848" w:rsidRDefault="00AD1848" w:rsidP="00AD1848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In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recent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years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both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settlements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have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repeatedly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encountered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major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floodings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caused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by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 more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frequent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occurence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unexpected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precipitation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result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inappropriate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or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missing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drainage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system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Precipitation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management must be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done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separately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from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sewage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water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system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since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precipitation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drainage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system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has a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dual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aim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: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preventing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damage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making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use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precipitation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In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both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settlements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there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is a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need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new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a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methodology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resizing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suiting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public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drainage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systems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changed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weather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conditions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. A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length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approximately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20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kilometres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is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missing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from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water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collecting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system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and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there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gram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is</w:t>
      </w:r>
      <w:proofErr w:type="gram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no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comprehensive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solution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yet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regarding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parameters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possible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construction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missing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part.</w:t>
      </w:r>
    </w:p>
    <w:p w:rsidR="00AD1848" w:rsidRPr="00AD1848" w:rsidRDefault="00AD1848" w:rsidP="00AD1848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Therefore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aim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our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present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project is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elaboration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application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a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model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that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will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help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planning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process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precipitation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management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system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facilitate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decision-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making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concerning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construction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works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not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only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near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future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but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also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long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run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.</w:t>
      </w:r>
    </w:p>
    <w:p w:rsidR="00AD1848" w:rsidRPr="00AD1848" w:rsidRDefault="00AD1848" w:rsidP="00AD1848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Our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project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partnership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involves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experts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from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our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Norwegian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partner,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Norwegian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Institute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Bioeconomy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Research (NIBIO,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formerly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Bioforsk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),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well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from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Budapest University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Technology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Economics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and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North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Trans-Danubian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Water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Management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Directorate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.</w:t>
      </w:r>
    </w:p>
    <w:p w:rsidR="00AD1848" w:rsidRPr="00AD1848" w:rsidRDefault="00AD1848" w:rsidP="00AD1848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The project is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implemented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framework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European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Economic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Area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Financial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Mechanism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2009-2014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Adaptation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Climate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Change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Programme no. HU04-C3-2013.</w:t>
      </w:r>
    </w:p>
    <w:p w:rsidR="00AD1848" w:rsidRPr="00AD1848" w:rsidRDefault="00AD1848" w:rsidP="00AD1848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The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title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project is „Urban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drainage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master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plan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Tát-Tokod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settlements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steps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towards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climate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adaptation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” (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reference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number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: EEA-C3-8). The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total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budget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project,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including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co-financing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is EUR 913 028. The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amount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of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grant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allocated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project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by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EEA Financial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Mechanism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by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Iceland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Liechtenstein and </w:t>
      </w:r>
      <w:proofErr w:type="spellStart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Norway</w:t>
      </w:r>
      <w:proofErr w:type="spellEnd"/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is EUR 776 074.</w:t>
      </w:r>
    </w:p>
    <w:p w:rsidR="00AD1848" w:rsidRPr="00AD1848" w:rsidRDefault="00AD1848" w:rsidP="00AD1848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AD1848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</w:t>
      </w:r>
    </w:p>
    <w:p w:rsidR="00AD1848" w:rsidRPr="00AD1848" w:rsidRDefault="00AD1848" w:rsidP="00AD184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Through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EEA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Grants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Norway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Grants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,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Iceland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, Liechtenstein and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Norway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contribute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to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reducing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social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economic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disparities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and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to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strengthening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bilateral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relations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with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beneficiary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countries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in Europe. The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three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countries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cooperate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closely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with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EU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through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Agreement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on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the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European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Economic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</w:t>
      </w:r>
      <w:proofErr w:type="spellStart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Area</w:t>
      </w:r>
      <w:proofErr w:type="spellEnd"/>
      <w:r w:rsidRPr="00AD1848">
        <w:rPr>
          <w:rFonts w:ascii="Arial" w:eastAsia="Times New Roman" w:hAnsi="Arial" w:cs="Arial"/>
          <w:color w:val="444444"/>
          <w:sz w:val="17"/>
          <w:szCs w:val="17"/>
          <w:lang w:eastAsia="hu-HU"/>
        </w:rPr>
        <w:t xml:space="preserve"> (EEA)</w:t>
      </w:r>
    </w:p>
    <w:p w:rsidR="00AB5B8B" w:rsidRDefault="00AD1848">
      <w:bookmarkStart w:id="0" w:name="_GoBack"/>
      <w:bookmarkEnd w:id="0"/>
    </w:p>
    <w:sectPr w:rsidR="00A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48"/>
    <w:rsid w:val="004C5297"/>
    <w:rsid w:val="004E6DBF"/>
    <w:rsid w:val="00A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25D4E-C774-4D12-8969-3BF7CFD4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D1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791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2123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ed%20Web%20Sites2\www.tokod.hu\hir\2397\preventing_inland_inundation_by_precipitation_management\index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file:///C:\Downloaded%20Web%20Sites2\www.tokod.hu\hirek\nyomtatobarat\2397\index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SZURIKA</dc:creator>
  <cp:keywords/>
  <dc:description/>
  <cp:lastModifiedBy>SZURIKA</cp:lastModifiedBy>
  <cp:revision>1</cp:revision>
  <dcterms:created xsi:type="dcterms:W3CDTF">2020-03-26T13:46:00Z</dcterms:created>
  <dcterms:modified xsi:type="dcterms:W3CDTF">2020-03-26T13:46:00Z</dcterms:modified>
</cp:coreProperties>
</file>